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98DF1">
      <w:pPr>
        <w:spacing w:before="100" w:beforeAutospacing="1" w:after="100" w:afterAutospacing="1" w:line="240" w:lineRule="auto"/>
        <w:jc w:val="right"/>
        <w:rPr>
          <w:rFonts w:ascii="GHEA Grapalat" w:hAnsi="GHEA Grapalat" w:eastAsia="Times New Roman" w:cs="Times New Roman"/>
          <w:sz w:val="20"/>
          <w:szCs w:val="20"/>
          <w:lang w:val="ru-RU"/>
        </w:rPr>
      </w:pPr>
      <w:bookmarkStart w:id="0" w:name="_GoBack"/>
      <w:bookmarkEnd w:id="0"/>
      <w:r>
        <w:rPr>
          <w:rFonts w:ascii="GHEA Grapalat" w:hAnsi="GHEA Grapalat" w:eastAsia="Times New Roman" w:cs="Times New Roman"/>
          <w:b/>
          <w:bCs/>
          <w:sz w:val="20"/>
          <w:szCs w:val="20"/>
          <w:lang w:val="ru-RU"/>
        </w:rPr>
        <w:t>Приложение 1.1</w:t>
      </w:r>
    </w:p>
    <w:p w14:paraId="2421406A">
      <w:pPr>
        <w:spacing w:before="100" w:beforeAutospacing="1" w:after="100" w:afterAutospacing="1" w:line="240" w:lineRule="auto"/>
        <w:jc w:val="center"/>
        <w:rPr>
          <w:rFonts w:ascii="GHEA Grapalat" w:hAnsi="GHEA Grapalat" w:eastAsia="Times New Roman" w:cs="Times New Roman"/>
          <w:sz w:val="20"/>
          <w:szCs w:val="20"/>
          <w:lang w:val="ru-RU"/>
        </w:rPr>
      </w:pPr>
      <w:r>
        <w:rPr>
          <w:rFonts w:ascii="GHEA Grapalat" w:hAnsi="GHEA Grapalat" w:eastAsia="Times New Roman" w:cs="Times New Roman"/>
          <w:b/>
          <w:bCs/>
          <w:sz w:val="20"/>
          <w:szCs w:val="20"/>
          <w:lang w:val="ru-RU"/>
        </w:rPr>
        <w:t>Техническое задание</w:t>
      </w:r>
    </w:p>
    <w:p w14:paraId="4B14BA71">
      <w:pPr>
        <w:spacing w:before="100" w:beforeAutospacing="1" w:after="100" w:afterAutospacing="1" w:line="240" w:lineRule="auto"/>
        <w:jc w:val="center"/>
        <w:rPr>
          <w:rFonts w:ascii="GHEA Grapalat" w:hAnsi="GHEA Grapalat" w:eastAsia="Times New Roman" w:cs="Times New Roman"/>
          <w:sz w:val="20"/>
          <w:szCs w:val="20"/>
          <w:lang w:val="ru-RU"/>
        </w:rPr>
      </w:pPr>
      <w:r>
        <w:rPr>
          <w:rFonts w:ascii="GHEA Grapalat" w:hAnsi="GHEA Grapalat" w:eastAsia="Times New Roman" w:cs="Times New Roman"/>
          <w:sz w:val="20"/>
          <w:szCs w:val="20"/>
          <w:lang w:val="ru-RU"/>
        </w:rPr>
        <w:t>На выполнение работ по разработке проектно-сметной документации для строительства нового здания средней школы на 240 ученических мест в населённом пункте Воскеван общины Ноемберян Тавушской области Республики Армения.</w:t>
      </w:r>
    </w:p>
    <w:p w14:paraId="72F0372D">
      <w:pPr>
        <w:rPr>
          <w:rFonts w:ascii="GHEA Grapalat" w:hAnsi="GHEA Grapalat"/>
          <w:i/>
          <w:color w:val="0000FF"/>
          <w:sz w:val="20"/>
          <w:szCs w:val="20"/>
          <w:lang w:val="ru-RU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790"/>
        <w:gridCol w:w="7308"/>
      </w:tblGrid>
      <w:tr w14:paraId="4672B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05EE8BC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14:paraId="0F0DCC8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308" w:type="dxa"/>
          </w:tcPr>
          <w:p w14:paraId="408363C6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Новый корпус средней школы на 240 ученических мест в населённом пункте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Voskevan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общины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Noyemberyan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Тавушской области Республики Армения будет построен на территории существующей школы; существующее здание подлежит сносу.</w:t>
            </w:r>
          </w:p>
          <w:p w14:paraId="1648F615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Адрес: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Тавушская область, община Воскеван, средняя школа.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br w:type="textWrapping"/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Кадастровый номер: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11050.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br w:type="textWrapping"/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Площадь земельного участка: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2,0 га.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br w:type="textWrapping"/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Свидетельство №: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(не указано).</w:t>
            </w:r>
          </w:p>
          <w:p w14:paraId="5DA24F1D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Мощность школы / количество учащихся: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640 / 153.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br w:type="textWrapping"/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Проектируемая средняя школа рассчитана на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240 ученических мест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.</w:t>
            </w:r>
          </w:p>
          <w:p w14:paraId="5A461F1C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Количество этажей: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2 надземных этажа.</w:t>
            </w:r>
          </w:p>
          <w:p w14:paraId="44E1D125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Здание было построено в 1970-х годах. Имеется водоснабжение, канализация подключена к сельской канализационной сети. На крыше здания столовой установлен водонагреватель. К газопроводу школа не подключена (газовая линия проходит рядом со входом в школу).</w:t>
            </w:r>
          </w:p>
          <w:p w14:paraId="7D04804D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В селе действует крупный детский сад.</w:t>
            </w:r>
          </w:p>
        </w:tc>
      </w:tr>
      <w:tr w14:paraId="74142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0FFCEBA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14:paraId="68508452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308" w:type="dxa"/>
          </w:tcPr>
          <w:p w14:paraId="6548877F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14:paraId="7215041E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14:paraId="18DA9CE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14:paraId="56402E0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14:paraId="7EC2184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Технические условия (ТУ). </w:t>
            </w:r>
          </w:p>
          <w:p w14:paraId="319DF440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14:paraId="6BB1E51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Заказчику); </w:t>
            </w:r>
          </w:p>
          <w:p w14:paraId="598AC61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14:paraId="6B6DCAF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14:paraId="60A0033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14:paraId="3F9EF7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14:paraId="39EC1DF2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14:paraId="0E94B26D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14:paraId="378FDE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14:paraId="25BF84D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14:paraId="3B2300B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14:paraId="4FDB491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14:paraId="67BF178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II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14:paraId="14D1F0D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14:paraId="1C1290D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14:paraId="0DD13AF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14:paraId="722969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14:paraId="32BAB91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14:paraId="701DF69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14:paraId="4EB200D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14:paraId="29E90B0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IV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14:paraId="54DAC91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14:paraId="2BF086C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14:paraId="2F56AE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14:paraId="1641F3C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14:paraId="12C3632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СН РА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</w:rPr>
              <w:t>IV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14:paraId="2E96B29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14:paraId="2E345CB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  <w:p w14:paraId="0B925696">
            <w:pPr>
              <w:tabs>
                <w:tab w:val="left" w:pos="-108"/>
              </w:tabs>
              <w:spacing w:after="0" w:line="240" w:lineRule="auto"/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ru-RU"/>
              </w:rPr>
            </w:pPr>
          </w:p>
        </w:tc>
      </w:tr>
      <w:tr w14:paraId="381A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5DEB81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790" w:type="dxa"/>
          </w:tcPr>
          <w:p w14:paraId="61BAD706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308" w:type="dxa"/>
          </w:tcPr>
          <w:p w14:paraId="0F3320C2">
            <w:pPr>
              <w:pStyle w:val="11"/>
              <w:rPr>
                <w:lang w:val="ru-RU"/>
              </w:rPr>
            </w:pPr>
            <w:r>
              <w:rPr>
                <w:rStyle w:val="12"/>
                <w:rFonts w:eastAsiaTheme="minorEastAsia"/>
                <w:lang w:val="ru-RU"/>
              </w:rPr>
              <w:t xml:space="preserve">Этап </w:t>
            </w:r>
            <w:r>
              <w:rPr>
                <w:rStyle w:val="12"/>
                <w:rFonts w:eastAsiaTheme="minorEastAsia"/>
              </w:rPr>
              <w:t>I</w:t>
            </w:r>
            <w:r>
              <w:rPr>
                <w:rStyle w:val="12"/>
                <w:rFonts w:eastAsiaTheme="minorEastAsia"/>
                <w:lang w:val="ru-RU"/>
              </w:rPr>
              <w:t>. Сбор исходных данных и разработка эскизного проекта</w:t>
            </w:r>
          </w:p>
          <w:p w14:paraId="4BC5DB6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Выполнение топографической съёмки территории в масштабе не менее М 1:500. </w:t>
            </w:r>
          </w:p>
          <w:p w14:paraId="743951D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14:paraId="3B342FC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Разработка </w:t>
            </w:r>
            <w:r>
              <w:rPr>
                <w:rStyle w:val="12"/>
                <w:lang w:val="ru-RU"/>
              </w:rPr>
              <w:t>эскизного проекта</w:t>
            </w:r>
            <w:r>
              <w:rPr>
                <w:lang w:val="ru-RU"/>
              </w:rPr>
              <w:t xml:space="preserve"> строительства нового здания средней школы на 240 ученических мест в населённом пункте Воскеван общины Ноемберян Тавушской области РА и согласование его с Заказчиком. </w:t>
            </w:r>
          </w:p>
          <w:p w14:paraId="3954CA5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отчёта. </w:t>
            </w:r>
          </w:p>
          <w:p w14:paraId="2CA39BB2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В случае, если проект подлежит экологической экспертизе (ОВОС), организация первых общественных слушаний для представления проекта на экспертизу ОВОС. </w:t>
            </w:r>
          </w:p>
          <w:p w14:paraId="006374C3">
            <w:pPr>
              <w:pStyle w:val="11"/>
              <w:rPr>
                <w:lang w:val="ru-RU"/>
              </w:rPr>
            </w:pPr>
            <w:r>
              <w:rPr>
                <w:rStyle w:val="12"/>
                <w:rFonts w:eastAsiaTheme="minorEastAsia"/>
                <w:lang w:val="ru-RU"/>
              </w:rPr>
              <w:t xml:space="preserve">Срок выполнения </w:t>
            </w:r>
            <w:r>
              <w:rPr>
                <w:rStyle w:val="12"/>
                <w:rFonts w:eastAsiaTheme="minorEastAsia"/>
              </w:rPr>
              <w:t>I</w:t>
            </w:r>
            <w:r>
              <w:rPr>
                <w:rStyle w:val="12"/>
                <w:rFonts w:eastAsiaTheme="minorEastAsia"/>
                <w:lang w:val="ru-RU"/>
              </w:rPr>
              <w:t xml:space="preserve"> этапа:</w:t>
            </w:r>
            <w:r>
              <w:rPr>
                <w:lang w:val="ru-RU"/>
              </w:rPr>
              <w:t xml:space="preserve"> </w:t>
            </w:r>
            <w:r>
              <w:rPr>
                <w:lang w:val="hy-AM"/>
              </w:rPr>
              <w:t>45</w:t>
            </w:r>
            <w:r>
              <w:rPr>
                <w:lang w:val="ru-RU"/>
              </w:rPr>
              <w:t xml:space="preserve"> календарных дней со дня, следующего за датой вступления договора в силу.</w:t>
            </w:r>
          </w:p>
          <w:p w14:paraId="5FBED760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>*) Работа считается выполненной в установленный срок, если в течение указанного периода Консультант получил утверждение эскизного проекта от Заказчика (ФТРА/</w:t>
            </w:r>
            <w:r>
              <w:t>ՀՏԶՀ</w:t>
            </w:r>
            <w:r>
              <w:rPr>
                <w:lang w:val="ru-RU"/>
              </w:rPr>
              <w:t>).</w:t>
            </w:r>
          </w:p>
          <w:p w14:paraId="41456D6F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 xml:space="preserve">**) Представленный на согласование эскизный проект рассматривается ФТРА и в течение </w:t>
            </w:r>
            <w:r>
              <w:rPr>
                <w:lang w:val="hy-AM"/>
              </w:rPr>
              <w:t>3</w:t>
            </w:r>
            <w:r>
              <w:rPr>
                <w:lang w:val="ru-RU"/>
              </w:rPr>
              <w:t xml:space="preserve"> рабочих дней либо утверждается, либо возвращается с замечаниями. Доработанный по замечаниям проект рассматривается дополнительно в течение </w:t>
            </w:r>
            <w:r>
              <w:rPr>
                <w:lang w:val="hy-AM"/>
              </w:rPr>
              <w:t>3</w:t>
            </w:r>
            <w:r>
              <w:rPr>
                <w:lang w:val="ru-RU"/>
              </w:rPr>
              <w:t xml:space="preserve"> рабочих дней. Указанный срок включён в предусмотренные для </w:t>
            </w:r>
            <w:r>
              <w:t>I</w:t>
            </w:r>
            <w:r>
              <w:rPr>
                <w:lang w:val="ru-RU"/>
              </w:rPr>
              <w:t xml:space="preserve"> этапа </w:t>
            </w:r>
            <w:r>
              <w:rPr>
                <w:lang w:val="hy-AM"/>
              </w:rPr>
              <w:t>45</w:t>
            </w:r>
            <w:r>
              <w:rPr>
                <w:lang w:val="ru-RU"/>
              </w:rPr>
              <w:t xml:space="preserve"> дней.</w:t>
            </w:r>
          </w:p>
          <w:p w14:paraId="7388B5D4">
            <w:pPr>
              <w:spacing w:after="0" w:line="240" w:lineRule="auto"/>
            </w:pPr>
            <w:r>
              <w:pict>
                <v:rect id="_x0000_i102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285E821D">
            <w:pPr>
              <w:pStyle w:val="3"/>
              <w:spacing w:line="240" w:lineRule="auto"/>
              <w:outlineLvl w:val="1"/>
              <w:rPr>
                <w:lang w:val="ru-RU"/>
              </w:rPr>
            </w:pPr>
            <w:r>
              <w:rPr>
                <w:lang w:val="ru-RU"/>
              </w:rPr>
              <w:t xml:space="preserve">Этап </w:t>
            </w:r>
            <w:r>
              <w:t>II</w:t>
            </w:r>
            <w:r>
              <w:rPr>
                <w:lang w:val="ru-RU"/>
              </w:rPr>
              <w:t>. Разработка полного пакета проектно-сметной документации</w:t>
            </w:r>
          </w:p>
          <w:p w14:paraId="4C52659C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 xml:space="preserve">На основании согласованного с Заказчиком эскизного проекта выполняется разработка </w:t>
            </w:r>
            <w:r>
              <w:rPr>
                <w:rStyle w:val="12"/>
                <w:rFonts w:eastAsiaTheme="minorEastAsia"/>
                <w:lang w:val="ru-RU"/>
              </w:rPr>
              <w:t>рабочего проекта</w:t>
            </w:r>
            <w:r>
              <w:rPr>
                <w:lang w:val="ru-RU"/>
              </w:rPr>
              <w:t xml:space="preserve"> строительства нового здания средней школы на 240 ученических мест в населённом пункте Воскеван общины Ноемберян Тавушской области РА, а также получение заключений по пожарной и технической безопасности.</w:t>
            </w:r>
          </w:p>
          <w:p w14:paraId="2CAB0D33">
            <w:pPr>
              <w:pStyle w:val="11"/>
              <w:rPr>
                <w:lang w:val="ru-RU"/>
              </w:rPr>
            </w:pPr>
            <w:r>
              <w:rPr>
                <w:rStyle w:val="12"/>
                <w:rFonts w:eastAsiaTheme="minorEastAsia"/>
                <w:lang w:val="ru-RU"/>
              </w:rPr>
              <w:t xml:space="preserve">Срок выполнения </w:t>
            </w:r>
            <w:r>
              <w:rPr>
                <w:rStyle w:val="12"/>
                <w:rFonts w:eastAsiaTheme="minorEastAsia"/>
              </w:rPr>
              <w:t>II</w:t>
            </w:r>
            <w:r>
              <w:rPr>
                <w:rStyle w:val="12"/>
                <w:rFonts w:eastAsiaTheme="minorEastAsia"/>
                <w:lang w:val="ru-RU"/>
              </w:rPr>
              <w:t xml:space="preserve"> этапа:</w:t>
            </w:r>
            <w:r>
              <w:rPr>
                <w:lang w:val="ru-RU"/>
              </w:rPr>
              <w:t xml:space="preserve"> 1</w:t>
            </w:r>
            <w:r>
              <w:rPr>
                <w:lang w:val="hy-AM"/>
              </w:rPr>
              <w:t>5</w:t>
            </w:r>
            <w:r>
              <w:rPr>
                <w:lang w:val="ru-RU"/>
              </w:rPr>
              <w:t>0 календарных дней со дня, следующего за датой вступления договора в силу (или 1</w:t>
            </w:r>
            <w:r>
              <w:rPr>
                <w:lang w:val="hy-AM"/>
              </w:rPr>
              <w:t>05</w:t>
            </w:r>
            <w:r>
              <w:rPr>
                <w:lang w:val="ru-RU"/>
              </w:rPr>
              <w:t xml:space="preserve"> календарных дней без учёта </w:t>
            </w:r>
            <w:r>
              <w:t>I</w:t>
            </w:r>
            <w:r>
              <w:rPr>
                <w:lang w:val="ru-RU"/>
              </w:rPr>
              <w:t xml:space="preserve"> этапа). *)</w:t>
            </w:r>
          </w:p>
          <w:p w14:paraId="7CAC7497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>*) Работа считается выполненной в установленный срок, если в течение указанного периода Консультант получил:</w:t>
            </w:r>
          </w:p>
          <w:p w14:paraId="078B709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утверждение Заказчиком (ФТРА) рабочего проекта (полного пакета проектно-сметной документации); </w:t>
            </w:r>
          </w:p>
          <w:p w14:paraId="51DAD5C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заключения по пожарной и технической безопасности; </w:t>
            </w:r>
          </w:p>
          <w:p w14:paraId="41AACEF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предварительные согласования от ресурсоснабжающих организаций по инженерным разделам (в случае необходимости переноса/переустройства существующих инженерных сетей). </w:t>
            </w:r>
          </w:p>
          <w:p w14:paraId="128D1BD9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 xml:space="preserve">**) Представленный на согласование рабочий проект рассматривается ФТРА и в течение 5 рабочих дней либо утверждается, либо возвращается с замечаниями. Доработанный проект рассматривается дополнительно в течение 5 рабочих дней. Указанный срок включён в предусмотренные для </w:t>
            </w:r>
            <w:r>
              <w:t>II</w:t>
            </w:r>
            <w:r>
              <w:rPr>
                <w:lang w:val="ru-RU"/>
              </w:rPr>
              <w:t xml:space="preserve"> этапа 1</w:t>
            </w:r>
            <w:r>
              <w:rPr>
                <w:lang w:val="hy-AM"/>
              </w:rPr>
              <w:t>05</w:t>
            </w:r>
            <w:r>
              <w:rPr>
                <w:lang w:val="ru-RU"/>
              </w:rPr>
              <w:t xml:space="preserve"> дней.</w:t>
            </w:r>
          </w:p>
          <w:p w14:paraId="37111064">
            <w:pPr>
              <w:spacing w:after="0" w:line="240" w:lineRule="auto"/>
            </w:pPr>
            <w:r>
              <w:pict>
                <v:rect id="_x0000_i1026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08D276D4">
            <w:pPr>
              <w:pStyle w:val="3"/>
              <w:spacing w:line="240" w:lineRule="auto"/>
              <w:outlineLvl w:val="1"/>
              <w:rPr>
                <w:lang w:val="ru-RU"/>
              </w:rPr>
            </w:pPr>
            <w:r>
              <w:rPr>
                <w:lang w:val="ru-RU"/>
              </w:rPr>
              <w:t xml:space="preserve">Этап </w:t>
            </w:r>
            <w:r>
              <w:t>III</w:t>
            </w:r>
            <w:r>
              <w:rPr>
                <w:lang w:val="ru-RU"/>
              </w:rPr>
              <w:t>. Получение согласований и экспертных заключений</w:t>
            </w:r>
          </w:p>
          <w:p w14:paraId="76237E58">
            <w:pPr>
              <w:pStyle w:val="11"/>
            </w:pPr>
            <w:r>
              <w:t>Заказчик представляет проект на:</w:t>
            </w:r>
          </w:p>
          <w:p w14:paraId="1D43D43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14:paraId="19DD69E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</w:pPr>
            <w:r>
              <w:t xml:space="preserve">упрощённую градостроительную экспертизу. </w:t>
            </w:r>
          </w:p>
          <w:p w14:paraId="5A5D666B">
            <w:pPr>
              <w:pStyle w:val="11"/>
            </w:pPr>
            <w:r>
              <w:t>Консультант:</w:t>
            </w:r>
          </w:p>
          <w:p w14:paraId="3D51606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получает и передаёт Заказчику заключение экологической экспертизы (ОВОС), если проект подлежит такой экспертизе; </w:t>
            </w:r>
          </w:p>
          <w:p w14:paraId="79AE6BF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14:paraId="7EAF8C4B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>*) Замечания, полученные в процессе согласования и экспертизы, передаются Консультанту для устранения выявленных недостатков в сроки, установленные Заказчиком.</w:t>
            </w:r>
          </w:p>
          <w:p w14:paraId="276FACDA">
            <w:pPr>
              <w:pStyle w:val="11"/>
            </w:pPr>
            <w:r>
              <w:rPr>
                <w:rStyle w:val="12"/>
                <w:rFonts w:eastAsiaTheme="minorEastAsia"/>
                <w:lang w:val="ru-RU"/>
              </w:rPr>
              <w:t xml:space="preserve">Срок выполнения </w:t>
            </w:r>
            <w:r>
              <w:rPr>
                <w:rStyle w:val="12"/>
                <w:rFonts w:eastAsiaTheme="minorEastAsia"/>
              </w:rPr>
              <w:t>III</w:t>
            </w:r>
            <w:r>
              <w:rPr>
                <w:rStyle w:val="12"/>
                <w:rFonts w:eastAsiaTheme="minorEastAsia"/>
                <w:lang w:val="ru-RU"/>
              </w:rPr>
              <w:t xml:space="preserve"> этапа:</w:t>
            </w:r>
            <w:r>
              <w:rPr>
                <w:lang w:val="ru-RU"/>
              </w:rPr>
              <w:t xml:space="preserve"> </w:t>
            </w:r>
            <w:r>
              <w:rPr>
                <w:lang w:val="hy-AM"/>
              </w:rPr>
              <w:t>180</w:t>
            </w:r>
            <w:r>
              <w:rPr>
                <w:lang w:val="ru-RU"/>
              </w:rPr>
              <w:t xml:space="preserve"> календарных дней со дня, следующего за датой подписания договора (или 30 календарных дней без учёта </w:t>
            </w:r>
            <w:r>
              <w:t>I</w:t>
            </w:r>
            <w:r>
              <w:rPr>
                <w:lang w:val="ru-RU"/>
              </w:rPr>
              <w:t xml:space="preserve"> и </w:t>
            </w:r>
            <w:r>
              <w:t>II</w:t>
            </w:r>
            <w:r>
              <w:rPr>
                <w:lang w:val="ru-RU"/>
              </w:rPr>
              <w:t xml:space="preserve"> этапов).</w:t>
            </w:r>
          </w:p>
          <w:p w14:paraId="49463F61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 xml:space="preserve">После получения положительного заключения упрощённой градостроительной экспертизы Заказчик представляет пакет проектной документации на </w:t>
            </w:r>
            <w:r>
              <w:rPr>
                <w:rStyle w:val="12"/>
                <w:rFonts w:eastAsiaTheme="minorEastAsia"/>
                <w:lang w:val="ru-RU"/>
              </w:rPr>
              <w:t>государственную комплексную экспертизу</w:t>
            </w:r>
            <w:r>
              <w:rPr>
                <w:lang w:val="ru-RU"/>
              </w:rPr>
              <w:t>.</w:t>
            </w:r>
          </w:p>
          <w:p w14:paraId="34A17A6F">
            <w:pPr>
              <w:pStyle w:val="11"/>
              <w:rPr>
                <w:lang w:val="ru-RU"/>
              </w:rPr>
            </w:pPr>
            <w:r>
              <w:rPr>
                <w:lang w:val="ru-RU"/>
              </w:rPr>
              <w:t>Приёмка выполненных работ Заказчиком и оплата осуществляются после получения положительного заключения государственной комплексной экспертизы.</w:t>
            </w:r>
          </w:p>
          <w:p w14:paraId="416B3EE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14:paraId="593D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621F6D7C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790" w:type="dxa"/>
          </w:tcPr>
          <w:p w14:paraId="3699B389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308" w:type="dxa"/>
          </w:tcPr>
          <w:p w14:paraId="0306F8C8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 настоящее время в средней школе Воскевана обучается 153 учащихся, функционирует 12 классов. Проектная мощность действующего школьного здания составляла 640 ученических мест, корпуса находятся в неудовлетворительном состоянии, часть помещений не используется. Здание не имеет подвального этажа, укрытие приспособлено на первом этаже.</w:t>
            </w:r>
          </w:p>
          <w:p w14:paraId="4825043A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Предусматривается снос существующего здания и строительство на его месте по индивидуальному проекту нового школьного здания на 240 ученических мест. Новое здание проектировать с подвальным этажом, приспособленным под укрытие. Надземная часть — до 3 этажей.</w:t>
            </w:r>
          </w:p>
          <w:p w14:paraId="78CF65C9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Территория имеет сложный рельеф, существующие корпуса расположены на площадках с перепадом отметок в один этаж. Новое здание предлагается разместить с использованием существующих площадок с целью минимизации объёмов земляных работ и строительства новых подпорных стен.</w:t>
            </w:r>
          </w:p>
          <w:p w14:paraId="57A403D0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Цель задания — строительство на территории действующей школы нового здания школы мощностью 240 ученических мест взамен существующих корпусов, с полным набором функциональных помещений, предусмотренных нормативами, а также с открытым спортивным полем.</w:t>
            </w:r>
          </w:p>
          <w:p w14:paraId="2D3E6686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Основные требования</w:t>
            </w:r>
          </w:p>
          <w:p w14:paraId="2A4A594A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Классы проектировать из расчёта 20 учащихся на класс. </w:t>
            </w:r>
          </w:p>
          <w:p w14:paraId="665B23B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Выделить зоны начальной школы отдельно от зон основной и старшей школы, предусмотреть отдельный вход и общую игровую комнату площадью около 70 м². </w:t>
            </w:r>
          </w:p>
          <w:p w14:paraId="4B6A702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Площадь столовой рассчитывать из нормы 1 м² на одно посадочное место, из расчёта одновременного питания 70 человек (с обеспечением 140 мест при двух сменах питания). </w:t>
            </w:r>
          </w:p>
          <w:p w14:paraId="5283D48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кабинета из расчёта 10 учащихся на кабинет. </w:t>
            </w:r>
          </w:p>
          <w:p w14:paraId="262AD07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Актовый зал — на 170 мест. </w:t>
            </w:r>
          </w:p>
          <w:p w14:paraId="7CDA83B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  <w:lang w:val="ru-RU"/>
              </w:rPr>
              <w:t>Закрытый спортивный зал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с игровым полем размером </w:t>
            </w: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  <w:lang w:val="ru-RU"/>
              </w:rPr>
              <w:t>24 × 15 м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и трибунами на </w:t>
            </w: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  <w:lang w:val="ru-RU"/>
              </w:rPr>
              <w:t>40–60 зрительских мест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. </w:t>
            </w:r>
          </w:p>
          <w:p w14:paraId="4FC9046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спортивном зале предусмотреть: раздевалки из расчёта на 10 мальчиков и 10 девочек; душевые — по 3 душевые кабины для мальчиков и девочек, каждая группа душевых должна иметь отдельный вход (преддушевую/тамбур); санузлы — по одному для мальчиков и девочек; в комнате тренера также предусмотреть санузел и душевую. 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Площади помещений принимать в соответствии с </w:t>
            </w: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  <w:lang w:val="ru-RU"/>
              </w:rPr>
              <w:t>Приложением 7, таблица № 7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документа </w:t>
            </w: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</w:rPr>
              <w:t>ՀՀՇՆ</w:t>
            </w: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  <w:lang w:val="ru-RU"/>
              </w:rPr>
              <w:t xml:space="preserve"> 31-03.01-2014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(Строительные нормы Республики Армения).</w:t>
            </w:r>
          </w:p>
          <w:p w14:paraId="15E7B70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проектирования школы в виде отдельных корпусов все корпуса соединить тёплыми переходами. </w:t>
            </w:r>
          </w:p>
          <w:p w14:paraId="370AC7F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Обеспечить доступность для лиц с инвалидностью, связать все этажи лифтом (включая подвальный этаж). </w:t>
            </w:r>
          </w:p>
          <w:p w14:paraId="3643E71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14:paraId="7BDD98E4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Подвальный этаж</w:t>
            </w:r>
          </w:p>
          <w:p w14:paraId="32744503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 подвальном этаже предусмотреть:</w:t>
            </w:r>
          </w:p>
          <w:p w14:paraId="1DD79EA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укрытие; </w:t>
            </w:r>
          </w:p>
          <w:p w14:paraId="252CC79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технические помещения; </w:t>
            </w:r>
          </w:p>
          <w:p w14:paraId="5776F84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складские помещения; </w:t>
            </w:r>
          </w:p>
          <w:p w14:paraId="6E6EAE6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учебный тир. </w:t>
            </w:r>
          </w:p>
          <w:p w14:paraId="7B1C4BCA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Наружные спортивные сооружения</w:t>
            </w:r>
          </w:p>
          <w:p w14:paraId="261274A2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Предусмотреть открытое спортивное поле с разметкой и оборудованием для мини-футбола размером 20 × 40 м, а также внешнюю беговую дорожку шириной 5 м.</w:t>
            </w:r>
          </w:p>
          <w:p w14:paraId="096B981F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Инженерное обеспечение</w:t>
            </w:r>
          </w:p>
          <w:p w14:paraId="72BE14BC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Новое здание должно быть оснащено всеми необходимыми инженерными системами:</w:t>
            </w:r>
          </w:p>
          <w:p w14:paraId="64D3575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электроснабжение и электроосвещение; </w:t>
            </w:r>
          </w:p>
          <w:p w14:paraId="6FFB3E3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водоснабжение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и</w:t>
            </w:r>
            <w:r>
              <w:rPr>
                <w:rFonts w:ascii="GHEA Grapalat" w:hAnsi="GHEA Grapalat"/>
                <w:sz w:val="20"/>
                <w:szCs w:val="20"/>
              </w:rPr>
              <w:t xml:space="preserve"> канализация; </w:t>
            </w:r>
          </w:p>
          <w:p w14:paraId="62C4B68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отопление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GHEA Grapalat" w:hAnsi="GHEA Grapalat"/>
                <w:sz w:val="20"/>
                <w:szCs w:val="20"/>
              </w:rPr>
              <w:t xml:space="preserve">вентиляция; </w:t>
            </w:r>
          </w:p>
          <w:p w14:paraId="6E9656F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слаботочные системы: связьб интернет, видеонаблюдение; система звонка; пожарная сигнализация /пожарные краны; при необходимости  и возможности — пожарный гидрант; </w:t>
            </w:r>
          </w:p>
          <w:p w14:paraId="4489367A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другие системы согласно нормативным требованиям. </w:t>
            </w:r>
          </w:p>
          <w:p w14:paraId="007DEAD3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Энергоснабжение и коммунальные системы</w:t>
            </w:r>
          </w:p>
          <w:p w14:paraId="110FE29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солнечную фотоэлектрическую станцию мин на 20квт с размещением панелей на крыше и/или на территории. В случае размещения на территории участок должен быть выделен и ограждён. </w:t>
            </w:r>
          </w:p>
          <w:p w14:paraId="5055482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Отопление проектировать на газовом топливе (предусмотреть котельную). </w:t>
            </w:r>
          </w:p>
          <w:p w14:paraId="5865B5A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Предусмотреть установку очистных сооружений сточных вод с последующим подключением к сельской канализационной сети.</w:t>
            </w:r>
          </w:p>
          <w:p w14:paraId="67F076D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>Предусмотреть наружное освещение территории с использованием фотоэлектрических (солнечных) светильников.</w:t>
            </w:r>
          </w:p>
          <w:p w14:paraId="0EA31849">
            <w:pPr>
              <w:spacing w:before="100" w:beforeAutospacing="1" w:after="100" w:afterAutospacing="1" w:line="240" w:lineRule="auto"/>
              <w:ind w:left="720"/>
              <w:rPr>
                <w:lang w:val="hy-AM"/>
              </w:rPr>
            </w:pPr>
          </w:p>
          <w:p w14:paraId="4CA12417">
            <w:pPr>
              <w:spacing w:before="100" w:beforeAutospacing="1" w:after="100" w:afterAutospacing="1" w:line="240" w:lineRule="auto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Генеральный план территории</w:t>
            </w:r>
          </w:p>
          <w:p w14:paraId="2BD16441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На генеральном плане должны быть отражены:</w:t>
            </w:r>
          </w:p>
          <w:p w14:paraId="3B12A20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все сооружения; </w:t>
            </w:r>
          </w:p>
          <w:p w14:paraId="5756303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подъезды пожарной техники; </w:t>
            </w:r>
          </w:p>
          <w:p w14:paraId="0741F4D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открытое спортивное поле; </w:t>
            </w:r>
          </w:p>
          <w:p w14:paraId="5AA8AB9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наружные инженерные сети; </w:t>
            </w:r>
          </w:p>
          <w:p w14:paraId="28F0204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участок размещения очистных сооружений канализации; </w:t>
            </w:r>
          </w:p>
          <w:p w14:paraId="23F4321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благоустройству и отдельные элементы благоустройства; </w:t>
            </w:r>
          </w:p>
          <w:p w14:paraId="45AA9A6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иная необходимая инфраструктура в соответствии с техническими условиями. </w:t>
            </w:r>
          </w:p>
          <w:p w14:paraId="3D970938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Благоустройство территории</w:t>
            </w:r>
          </w:p>
          <w:p w14:paraId="72EDBFA2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 проекте благоустройства обязательно предусмотреть:</w:t>
            </w:r>
          </w:p>
          <w:p w14:paraId="7AC6551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решения по устройству открытого спортивного поля; </w:t>
            </w:r>
          </w:p>
          <w:p w14:paraId="196C1F4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ограждение; </w:t>
            </w:r>
          </w:p>
          <w:p w14:paraId="61310C5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наружное освещение; </w:t>
            </w:r>
          </w:p>
          <w:p w14:paraId="21787FB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бордюры из базальта; </w:t>
            </w:r>
          </w:p>
          <w:p w14:paraId="1FF2FDF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асфальтовое покрытие; </w:t>
            </w:r>
          </w:p>
          <w:p w14:paraId="5597EAF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выделение коммунальных и озеленённых зон; </w:t>
            </w:r>
          </w:p>
          <w:p w14:paraId="4C89BEE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оснащение озеленённых участков системой полива. </w:t>
            </w:r>
          </w:p>
          <w:p w14:paraId="2599E163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Размещение сооружений выбирать по принципу минимального ущерба существующим деревьям.</w:t>
            </w:r>
          </w:p>
          <w:p w14:paraId="133FC45F">
            <w:pPr>
              <w:pStyle w:val="3"/>
              <w:spacing w:line="240" w:lineRule="auto"/>
              <w:outlineLvl w:val="1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Требования к зданию школы</w:t>
            </w:r>
          </w:p>
          <w:p w14:paraId="56C3373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Наружные двери и окна — из алюминиевого профиля толщиной не менее 60 мм с терморазрывом. </w:t>
            </w:r>
          </w:p>
          <w:p w14:paraId="08B6C31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Внутренние двери — из МДФ толщиной не менее 40 мм, дверная коробка не менее 60 мм; двери учебных кабинетов должны иметь остеклённые вставки (цвет и внешний вид согласовать с Заказчиком). </w:t>
            </w:r>
          </w:p>
          <w:p w14:paraId="7F192A4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14:paraId="540C59A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Подвесные потолки в санузлах, душевых, актовом зале и коридорах допускается выполнять типа «Армстронг». </w:t>
            </w:r>
          </w:p>
          <w:p w14:paraId="3229239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Над школьными досками предусмотреть линейные светодиодные светильники. </w:t>
            </w:r>
          </w:p>
          <w:p w14:paraId="2F097E9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размещать на первом или втором этаже. </w:t>
            </w:r>
          </w:p>
          <w:p w14:paraId="4D7F939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иные вентиляционные системы предусматривать в соответствии с нормативными требованиями. </w:t>
            </w:r>
          </w:p>
          <w:p w14:paraId="66B86EC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лестничные клетки, требуемые нормами пожарной безопасности, проектировать с непосредственным выходом наружу; из подвального этажа предусмотреть не менее двух выходов непосредственно наружу. </w:t>
            </w:r>
          </w:p>
          <w:p w14:paraId="78AB3B6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14:paraId="3AAB624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Конструктивная схема здания — монолитный железобетон. </w:t>
            </w:r>
          </w:p>
          <w:p w14:paraId="14F0EA8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Кровля — скатная, из окрашенного профилированного металлического листа с порошковым покрытием. </w:t>
            </w:r>
          </w:p>
          <w:p w14:paraId="6E90865A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Отвод дождевых вод организованный, в том числе посредством встроенных лотков с отводом воды от замощённых поверхностей. </w:t>
            </w:r>
          </w:p>
          <w:p w14:paraId="1C839CF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Цоколь облицевать базальтовыми плитами. </w:t>
            </w:r>
          </w:p>
          <w:p w14:paraId="795A87F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Отмостку вокруг здания выполнить из асфальтобетона или базальтовой облицовки типа брекчия. </w:t>
            </w:r>
          </w:p>
          <w:p w14:paraId="1F24E97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Бордюры — из базальтового камня размером 150 × 300 мм. </w:t>
            </w:r>
          </w:p>
          <w:p w14:paraId="1C3FC4A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Настоящим заданием предусматривается система пожарной сигнализации. </w:t>
            </w:r>
            <w:r>
              <w:rPr>
                <w:rFonts w:ascii="GHEA Grapalat" w:hAnsi="GHEA Grapalat"/>
                <w:sz w:val="20"/>
                <w:szCs w:val="20"/>
              </w:rPr>
              <w:t xml:space="preserve">Автоматическая система пожаротушения не предусматривается. </w:t>
            </w:r>
          </w:p>
          <w:p w14:paraId="524B781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Планировочное решение кухонной зоны согласовать с Министерством образования, науки, культуры и спорта РА с учётом количества и габаритов кухонного оборудования, которое будет закупаться данным ведомством. </w:t>
            </w:r>
          </w:p>
          <w:p w14:paraId="720B4BA3">
            <w:pPr>
              <w:spacing w:after="0" w:line="276" w:lineRule="auto"/>
              <w:rPr>
                <w:rFonts w:ascii="GHEA Grapalat" w:hAnsi="GHEA Grapalat" w:eastAsia="Times New Roman" w:cs="Times New Roman"/>
                <w:color w:val="C00000"/>
                <w:sz w:val="20"/>
                <w:szCs w:val="20"/>
                <w:lang w:val="ru-RU"/>
              </w:rPr>
            </w:pPr>
          </w:p>
          <w:p w14:paraId="0EFCA51B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 части внутренней отделки</w:t>
            </w:r>
          </w:p>
          <w:p w14:paraId="182B980B">
            <w:pPr>
              <w:pStyle w:val="5"/>
              <w:spacing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Перегородки, стены, потолки</w:t>
            </w:r>
          </w:p>
          <w:p w14:paraId="5D84CA0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— глухие перегородки из МДФ, смонтированные на металлическом каркасе. </w:t>
            </w:r>
          </w:p>
          <w:p w14:paraId="4B0C786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 xml:space="preserve">Штукатурку стен, откосов и потолков предусмотреть гипсовой штукатурной смесью </w:t>
            </w:r>
            <w:r>
              <w:t>(гипсонит).</w:t>
            </w:r>
          </w:p>
          <w:p w14:paraId="16AE9ED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Стены и потолки учебных классов, административных помещений, коридоров и вестибюля — окраска латексной краской. </w:t>
            </w:r>
          </w:p>
          <w:p w14:paraId="16601E1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Кухня, технические помещения, санузлы — облицовка стен керамической плиткой. </w:t>
            </w:r>
          </w:p>
          <w:p w14:paraId="6834FCD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облицовку стен керамической плиткой выполнять до уровня подвесного потолка. </w:t>
            </w:r>
          </w:p>
          <w:p w14:paraId="3238FAFA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кухне облицовку стен керамической плиткой выполнять на высоту 1,8 м. </w:t>
            </w:r>
          </w:p>
          <w:p w14:paraId="0976C113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Полы</w:t>
            </w:r>
          </w:p>
          <w:p w14:paraId="3B09626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Учебные классы, административные помещения, актовый зал — виниловое покрытие толщиной 2 мм. </w:t>
            </w:r>
          </w:p>
          <w:p w14:paraId="761AB3E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Вестибюль, коридоры, рекреационные зоны, столовая, кухня, технические помещения, санузлы — напольная плитка из керамогранита. </w:t>
            </w:r>
          </w:p>
          <w:p w14:paraId="5F98A69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Сцену выполнить с деревянным покрытием, обработанным антисептическим составом и матовым лаком. </w:t>
            </w:r>
          </w:p>
          <w:p w14:paraId="7341B847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Плинтусы</w:t>
            </w:r>
          </w:p>
          <w:p w14:paraId="559D883E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Плинтусы выполнять высотой 8–10 см:</w:t>
            </w:r>
          </w:p>
          <w:p w14:paraId="3D4444E2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виниловых полов — из МДФ; </w:t>
            </w:r>
          </w:p>
          <w:p w14:paraId="2F825AB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полов из керамогранита — из керамогранита. </w:t>
            </w:r>
          </w:p>
          <w:p w14:paraId="455AAEB5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Лестницы</w:t>
            </w:r>
          </w:p>
          <w:p w14:paraId="3550E15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Ступени облицевать плитами из керамогранита. </w:t>
            </w:r>
          </w:p>
          <w:p w14:paraId="08F30BB0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Лифт</w:t>
            </w:r>
          </w:p>
          <w:p w14:paraId="5C451E7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Размеры лифта предусмотреть для пользователей инвалидных колясок: </w:t>
            </w:r>
          </w:p>
          <w:p w14:paraId="0175AD95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внутренняя ширина кабины — 1,10 м; </w:t>
            </w:r>
          </w:p>
          <w:p w14:paraId="3EA37572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внутренняя глубина кабины — 1,40 м. </w:t>
            </w:r>
          </w:p>
          <w:p w14:paraId="3F982265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Розетки, выключатели, светильники и другое электрооборудование</w:t>
            </w:r>
          </w:p>
          <w:p w14:paraId="7D5DFBF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 от уровня пола. </w:t>
            </w:r>
          </w:p>
          <w:p w14:paraId="1CCAF328">
            <w:pPr>
              <w:pStyle w:val="11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Обязательно предусмотреть розетки:</w:t>
            </w:r>
          </w:p>
          <w:p w14:paraId="229416A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сцене (горизонтальное исполнение) — по одной одинарной розетке с каждой стороны; </w:t>
            </w:r>
          </w:p>
          <w:p w14:paraId="77522AF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задней стене сцены — по одной тройной розетке с каждой стороны; </w:t>
            </w:r>
          </w:p>
          <w:p w14:paraId="2638BC3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каждом учебном классе — по одной двойной розетке возле рабочего места учителя. </w:t>
            </w:r>
          </w:p>
          <w:p w14:paraId="2553418F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Оснащение помещений</w:t>
            </w:r>
          </w:p>
          <w:p w14:paraId="5BE85E12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Во всех учебных классах, административных помещениях и столовой предусмотреть:</w:t>
            </w:r>
          </w:p>
          <w:p w14:paraId="6A0718E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рулонные шторы; </w:t>
            </w:r>
          </w:p>
          <w:p w14:paraId="4F385B6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 одному окну со сложным запорным механизмом и противомоскитной сеткой. </w:t>
            </w:r>
          </w:p>
          <w:p w14:paraId="1EC222D8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На всех открывающихся окнах кухни предусмотреть противомоскитные сетки.</w:t>
            </w:r>
          </w:p>
          <w:p w14:paraId="48CCA5A2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На путях эвакуации установить указатели направления движения к выходу, а на выходах — знаки «Выход».</w:t>
            </w:r>
          </w:p>
          <w:p w14:paraId="05B42B4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7F6F320E">
            <w:pPr>
              <w:pStyle w:val="3"/>
              <w:spacing w:line="240" w:lineRule="auto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 процессе выполнения задания Консультант обязан выполнить следующие обязанности</w:t>
            </w:r>
          </w:p>
          <w:p w14:paraId="323288A4">
            <w:pPr>
              <w:pStyle w:val="11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Основные направления деятельности Консультанта:</w:t>
            </w:r>
          </w:p>
          <w:p w14:paraId="3D061AB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обследование территории, в частности: </w:t>
            </w:r>
          </w:p>
          <w:p w14:paraId="0591652F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топографической съёмки с указанием существующих надземных и подземных инженерных сетей и сооружений (точную информацию получать от ресурсоснабжающих организаций); </w:t>
            </w:r>
          </w:p>
          <w:p w14:paraId="6E636992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инженерно-геологических и гидрогеологических изысканий и получение соответствующего отчёта; </w:t>
            </w:r>
          </w:p>
          <w:p w14:paraId="390B57C6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 и сооружений на территории (при необходимости); </w:t>
            </w:r>
          </w:p>
          <w:p w14:paraId="7253407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Республики Армения, нормативно-техническими документами, техническим заданием и архитектурно-планировочным заданием; </w:t>
            </w:r>
          </w:p>
          <w:p w14:paraId="3E2193C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согласование проекта в установленном законодательством Республики Армения порядке со всеми заинтересованными органами и организациями, в частности: </w:t>
            </w:r>
          </w:p>
          <w:p w14:paraId="17421C6E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заключений по вопросам пожарной и технической безопасности; </w:t>
            </w:r>
          </w:p>
          <w:p w14:paraId="2680DB26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предварительное согласование наружных инженерных сетей и проектов их переноса с соответствующими ресурсоснабжающими организациями; </w:t>
            </w:r>
          </w:p>
          <w:p w14:paraId="47F825D6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 согласования с другими заинтересованными органами и организациями; </w:t>
            </w:r>
          </w:p>
          <w:p w14:paraId="1B81BB5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случаях, предусмотренных законодательством Республики Армения, представление проекта на оценку воздействия на окружающую среду и экологическую экспертизу с получением положительного заключения*. </w:t>
            </w:r>
          </w:p>
          <w:p w14:paraId="37A238C8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*) Пакет проектной документации на простую и государственную комплексную экспертизу градостроительной документации представляет Заказчик. По замечаниям, полученным в ходе экспертиз, Консультант обязан доработать проект в сроки, указанные Заказчиком.</w:t>
            </w:r>
          </w:p>
          <w:p w14:paraId="1F7B0B45">
            <w:pPr>
              <w:spacing w:before="100" w:beforeAutospacing="1" w:after="100" w:afterAutospacing="1" w:line="240" w:lineRule="auto"/>
              <w:outlineLvl w:val="2"/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</w:rPr>
              <w:t>Консультант обязан:</w:t>
            </w:r>
          </w:p>
          <w:p w14:paraId="2F6D474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 процессе разработки проектного задания оказывать содействие специалистам Заказчика и предоставлять необходимую информацию о нормативных требованиях, предъявляемых к планируемым строительным работам. </w:t>
            </w:r>
          </w:p>
          <w:p w14:paraId="3C9A333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Участвовать и оказывать поддержку в проведении общественных обсуждений (слушаний) по проекту, организуемых в соответствии с законодательством Республики Армения. </w:t>
            </w:r>
          </w:p>
          <w:p w14:paraId="2D3ED80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Взаимодействовать с ресурсоснабжающими организациями, эксплуатирующими инженерные сети, согласовывать с ними проектные предложения по переносу существующих сетей и их переустройству подземным способом, а при необходимости, при содействии Заказчика, получать соответствующие технические условия. </w:t>
            </w:r>
          </w:p>
          <w:p w14:paraId="5F2672A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На месте проверять соответствие предоставленных технических условий и иных исходных данных фактическому состоянию и проектным требованиям; в случае выявления несоответствий информировать Заказчика. </w:t>
            </w:r>
          </w:p>
          <w:p w14:paraId="4FD0B3A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До начала разработки рабочих чертежей согласовывать с Заказчиком все проектные решения, представляя эскизные варианты предлагаемых решений. </w:t>
            </w:r>
          </w:p>
          <w:p w14:paraId="4E1AD7F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проект. </w:t>
            </w:r>
          </w:p>
          <w:p w14:paraId="4E1B77E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Учитывать замечания и предложения, полученные в ходе экспертизы (экспертиз) проекта (в том числе экспертизы градостроительной документации, оценки воздействия на окружающую среду и экологической экспертизы, экспертизы технической безопасности и других видов экспертиз), и вносить в проект соответствующие изменения и уточнения.</w:t>
            </w:r>
          </w:p>
          <w:p w14:paraId="0B8BCE8F">
            <w:pPr>
              <w:spacing w:after="0" w:line="240" w:lineRule="auto"/>
              <w:rPr>
                <w:rFonts w:ascii="GHEA Grapalat" w:hAnsi="GHEA Grapalat" w:eastAsia="Times New Roman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14:paraId="4933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5056910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790" w:type="dxa"/>
          </w:tcPr>
          <w:p w14:paraId="727D9F37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14:paraId="40982FA4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14:paraId="5040F1EF">
            <w:pPr>
              <w:spacing w:after="0" w:line="240" w:lineRule="auto"/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14:paraId="0A25828D">
            <w:pPr>
              <w:spacing w:after="0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14:paraId="7058FD05">
            <w:pPr>
              <w:spacing w:after="0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14:paraId="63081146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14:paraId="42DAC410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14:paraId="32B37C9B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14:paraId="3232FD5B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14:paraId="383E3ABC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14:paraId="0B2BEAF1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14:paraId="3B94416A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14:paraId="545EA46B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14:paraId="19135225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14:paraId="70685B05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14:paraId="4A74EAAE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14:paraId="7148A7E1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14:paraId="1001DE02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</w:p>
          <w:p w14:paraId="48171AA5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14:paraId="189E541E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14:paraId="0B1B45E1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14:paraId="0C7DF16B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14:paraId="1093438F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14:paraId="6B1AA674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14:paraId="657C4780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14:paraId="16937993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 другие решения. </w:t>
            </w:r>
          </w:p>
          <w:p w14:paraId="7096FFA0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34DC2FE3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14:paraId="7C2BA831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14:paraId="25FD4192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14:paraId="5169CF7C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14:paraId="4F8A6862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14:paraId="4677100E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14:paraId="3A326F73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14:paraId="76DA0468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14:paraId="6DEB56D8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14:paraId="7AF65860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14:paraId="0E78DAB3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14:paraId="06AFF33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31916D51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14:paraId="5E78DC9F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14:paraId="72A9923C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14:paraId="4CB21663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14:paraId="38D25476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14:paraId="13097772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14:paraId="10C956BE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14:paraId="41970EBB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14:paraId="226FCC45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14:paraId="63F436B6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14:paraId="48588256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подробных инструкций по установке. </w:t>
            </w:r>
          </w:p>
          <w:p w14:paraId="15CBEDE2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14:paraId="23D55650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14:paraId="73393386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14:paraId="579F39B0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14:paraId="3145EAB5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14:paraId="3388C6E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075BE333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14:paraId="3A8E1934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3.1.</w:t>
            </w:r>
            <w:r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14:paraId="0AF51E03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3.2.</w:t>
            </w:r>
            <w:r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14:paraId="1E386A8F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3.3.</w:t>
            </w:r>
            <w:r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14:paraId="2570E56C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53690C90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14:paraId="0CFC8A3E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14:paraId="3C40FF4F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4.1.1.Электроснабжение: наружные и внутренние сети.</w:t>
            </w:r>
          </w:p>
          <w:p w14:paraId="10FA6D50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4.1.2.Электроосвещение: наружные и внутренние сети.</w:t>
            </w:r>
          </w:p>
          <w:p w14:paraId="3C9CEAE6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4.1.3.Фотоэлектрическая (солнечная) станция.</w:t>
            </w:r>
          </w:p>
          <w:p w14:paraId="46CEC997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14:paraId="27BA071F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.2.1.Водоснабжение: наружные и внутренние сети.</w:t>
            </w:r>
          </w:p>
          <w:p w14:paraId="49A70BD6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4.2.2.Канализация: наружные и внутренние сети.</w:t>
            </w:r>
          </w:p>
          <w:p w14:paraId="1908C228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14:paraId="4C229F5F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4.3.1.Наружные и внутренние сети теплоснабжения, котельная.</w:t>
            </w:r>
          </w:p>
          <w:p w14:paraId="0EEA8EA1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4.3.2.Система вентиляции.</w:t>
            </w:r>
          </w:p>
          <w:p w14:paraId="531540C8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14:paraId="0D4039F3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4.4.1.Система пожарной сигнализации.</w:t>
            </w:r>
          </w:p>
          <w:p w14:paraId="0D5DCE04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4.4.2.Система видеонаблюдения территории.</w:t>
            </w:r>
          </w:p>
          <w:p w14:paraId="11C94360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4.4.3.Система звонковой и часовой сигнализации.</w:t>
            </w:r>
          </w:p>
          <w:p w14:paraId="5296A909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4.4.4.Компьютерная сеть.</w:t>
            </w:r>
          </w:p>
          <w:p w14:paraId="409EF0F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4427D706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14:paraId="4257B50D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5.1.Проект организации строительства.</w:t>
            </w:r>
          </w:p>
          <w:p w14:paraId="4665D1C7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5.2.Проект сноса / демонтажа существующих зданий и сооружений.</w:t>
            </w:r>
          </w:p>
          <w:p w14:paraId="0AF35BDA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pict>
                <v:rect id="_x0000_i1033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1290DAC1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14:paraId="07F62E45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6.1.Ведомость объёмов строительных работ.</w:t>
            </w:r>
          </w:p>
          <w:p w14:paraId="521C4C65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6.2.Смета.</w:t>
            </w:r>
          </w:p>
          <w:p w14:paraId="2DFC6ACA">
            <w:pPr>
              <w:pStyle w:val="5"/>
              <w:spacing w:before="0" w:line="240" w:lineRule="auto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6.3.Ведомость объёмов работ со сметными расчётами, в соответствии с формой предоставляемой Заказчиком.</w:t>
            </w:r>
          </w:p>
          <w:p w14:paraId="534965D0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60DB8D35">
            <w:pPr>
              <w:pStyle w:val="2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14:paraId="672F753C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7.1.</w:t>
            </w:r>
            <w:r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14:paraId="35D97F41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14:paraId="134D214F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7.2.Заключение по технической безопасности (ИГПТБ).</w:t>
            </w:r>
          </w:p>
          <w:p w14:paraId="373AAEE9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14:paraId="612AA059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14:paraId="69264913">
            <w:pPr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по котельной. </w:t>
            </w:r>
          </w:p>
          <w:p w14:paraId="11668FA0">
            <w:pPr>
              <w:pStyle w:val="4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7.3.</w:t>
            </w: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14:paraId="4BFA3EF4">
            <w:pPr>
              <w:pStyle w:val="11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14:paraId="428B16B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</w:pPr>
          </w:p>
          <w:p w14:paraId="338B61FC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14:paraId="34E8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1BEE510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790" w:type="dxa"/>
          </w:tcPr>
          <w:p w14:paraId="15A3DE76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308" w:type="dxa"/>
          </w:tcPr>
          <w:p w14:paraId="73CE756E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14:paraId="2E0A851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14:paraId="748E6CC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>
              <w:rPr>
                <w:rStyle w:val="12"/>
                <w:rFonts w:ascii="GHEA Grapalat" w:hAnsi="GHEA Grapalat"/>
                <w:b w:val="0"/>
                <w:sz w:val="20"/>
                <w:szCs w:val="20"/>
                <w:lang w:val="ru-RU"/>
              </w:rPr>
              <w:t>«или эквивалент»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. </w:t>
            </w:r>
          </w:p>
          <w:p w14:paraId="77458B24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14:paraId="0482C29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Срок службы применяемых материалов, приборов и оборудования (сводный перечень)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6850639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Гарантийные сроки на приборы и оборудование (сводный перечень).</w:t>
            </w:r>
          </w:p>
          <w:p w14:paraId="5D28A304">
            <w:pPr>
              <w:spacing w:before="100" w:beforeAutospacing="1" w:after="100" w:afterAutospacing="1" w:line="240" w:lineRule="auto"/>
              <w:ind w:left="72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pict>
                <v:rect id="_x0000_i103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22D08383">
            <w:pPr>
              <w:pStyle w:val="3"/>
              <w:spacing w:line="240" w:lineRule="auto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</w:t>
            </w:r>
          </w:p>
          <w:p w14:paraId="4E328519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Срок сдачи проектно-сметной документации составляет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150 календарных</w:t>
            </w: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  <w:lang w:val="ru-RU"/>
              </w:rPr>
              <w:t xml:space="preserve"> дней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 со дня, следующего за датой вступления в силу договора (соглашения). С учётом получения согласований и заключения упрощённой градостроительной экспертизы -  </w:t>
            </w:r>
            <w:r>
              <w:rPr>
                <w:rFonts w:ascii="GHEA Grapalat" w:hAnsi="GHEA Grapalat" w:eastAsia="Times New Roman" w:cs="Times New Roman"/>
                <w:b/>
                <w:bCs/>
                <w:sz w:val="20"/>
                <w:szCs w:val="20"/>
                <w:lang w:val="ru-RU"/>
              </w:rPr>
              <w:t>180 календарных дней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.</w:t>
            </w:r>
          </w:p>
          <w:p w14:paraId="7BD9F785">
            <w:pPr>
              <w:spacing w:before="100" w:beforeAutospacing="1" w:after="100" w:afterAutospacing="1" w:line="240" w:lineRule="auto"/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После рассмотрения конечного пакета документации соответствующим отделом ФТРА, ФТРА отправит проект  на </w:t>
            </w: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  <w:lang w:val="ru-RU"/>
              </w:rPr>
              <w:t>упрощённую градостроительную экспертизу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 xml:space="preserve">, а после получения положительного заключения — также на </w:t>
            </w:r>
            <w:r>
              <w:rPr>
                <w:rFonts w:ascii="GHEA Grapalat" w:hAnsi="GHEA Grapalat" w:eastAsia="Times New Roman" w:cs="Times New Roman"/>
                <w:bCs/>
                <w:sz w:val="20"/>
                <w:szCs w:val="20"/>
                <w:lang w:val="ru-RU"/>
              </w:rPr>
              <w:t>государственную комплексную экспертизу</w:t>
            </w:r>
            <w:r>
              <w:rPr>
                <w:rFonts w:ascii="GHEA Grapalat" w:hAnsi="GHEA Grapalat" w:eastAsia="Times New Roman" w:cs="Times New Roman"/>
                <w:sz w:val="20"/>
                <w:szCs w:val="20"/>
                <w:lang w:val="ru-RU"/>
              </w:rPr>
              <w:t>.</w:t>
            </w:r>
          </w:p>
          <w:p w14:paraId="50BC2DF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6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0C75EFB6">
            <w:pPr>
              <w:pStyle w:val="3"/>
              <w:spacing w:line="240" w:lineRule="auto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Доработка проекта</w:t>
            </w:r>
          </w:p>
          <w:p w14:paraId="136753E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>При необходимости, если в ходе согласования проекта (в том числе с Заказчиком), а также по результатам упрощённой градостроительной и/или государственной комплексной экспертизы выдано отрицательное заключение либо положительное заключение с условием доработки проекта, Консультант обязан выполнить доработку проектно-сметной документации без дополнительной финансовой компенсации в сроки, установленные Заказчиком.</w:t>
            </w:r>
            <w:r>
              <w:rPr>
                <w:rFonts w:ascii="GHEA Grapalat" w:hAnsi="GHEA Grapalat"/>
                <w:sz w:val="20"/>
                <w:szCs w:val="20"/>
              </w:rPr>
              <w:pict>
                <v:rect id="_x0000_i1037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 w14:paraId="5CA0E479">
            <w:pPr>
              <w:pStyle w:val="3"/>
              <w:spacing w:line="240" w:lineRule="auto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14:paraId="4D6ED401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>
              <w:rPr>
                <w:rFonts w:ascii="GHEA Grapalat" w:hAnsi="GHEA Grapalat"/>
                <w:sz w:val="20"/>
                <w:szCs w:val="20"/>
              </w:rPr>
              <w:t>AutoCAD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ArchiCAD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Excel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Word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14:paraId="32874B7F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14:paraId="73BFFBC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0E1B54BC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7EAE378B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14:paraId="677126B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14:paraId="49557798">
            <w:pPr>
              <w:numPr>
                <w:ilvl w:val="1"/>
                <w:numId w:val="1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Word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AutoCAD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PDF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14:paraId="37800D6D">
            <w:pPr>
              <w:numPr>
                <w:ilvl w:val="1"/>
                <w:numId w:val="1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Excel</w:t>
            </w:r>
            <w:r>
              <w:rPr>
                <w:rStyle w:val="12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PDF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14:paraId="46E21A88">
            <w:pPr>
              <w:numPr>
                <w:ilvl w:val="1"/>
                <w:numId w:val="12"/>
              </w:numPr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>
              <w:rPr>
                <w:rStyle w:val="12"/>
                <w:rFonts w:ascii="GHEA Grapalat" w:hAnsi="GHEA Grapalat"/>
                <w:sz w:val="20"/>
                <w:szCs w:val="20"/>
              </w:rPr>
              <w:t>LIRA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374E1DEF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14:paraId="5BBE2BEE">
            <w:pPr>
              <w:pStyle w:val="4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14:paraId="59568174">
            <w:pPr>
              <w:pStyle w:val="1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Style w:val="12"/>
                <w:rFonts w:ascii="GHEA Grapalat" w:hAnsi="GHEA Grapalat" w:eastAsiaTheme="minorEastAsia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  <w:p w14:paraId="3381A27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14:paraId="2B76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7ADAF43C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2790" w:type="dxa"/>
          </w:tcPr>
          <w:p w14:paraId="4BF742A4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308" w:type="dxa"/>
          </w:tcPr>
          <w:p w14:paraId="3B0D722B">
            <w:pPr>
              <w:spacing w:after="0" w:line="240" w:lineRule="auto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14:paraId="3A185697">
      <w:pPr>
        <w:rPr>
          <w:rFonts w:ascii="GHEA Grapalat" w:hAnsi="GHEA Grapalat"/>
          <w:sz w:val="20"/>
          <w:szCs w:val="20"/>
          <w:lang w:val="hy-AM"/>
        </w:rPr>
      </w:pPr>
    </w:p>
    <w:sectPr>
      <w:pgSz w:w="12240" w:h="15840"/>
      <w:pgMar w:top="900" w:right="810" w:bottom="540" w:left="108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GHEAGrapalat">
    <w:altName w:val="Dark Courier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42490"/>
    <w:multiLevelType w:val="multilevel"/>
    <w:tmpl w:val="01F4249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956477B"/>
    <w:multiLevelType w:val="multilevel"/>
    <w:tmpl w:val="0956477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4A17684"/>
    <w:multiLevelType w:val="multilevel"/>
    <w:tmpl w:val="24A176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8270F5D"/>
    <w:multiLevelType w:val="multilevel"/>
    <w:tmpl w:val="28270F5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95D1257"/>
    <w:multiLevelType w:val="multilevel"/>
    <w:tmpl w:val="295D125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455C19E2"/>
    <w:multiLevelType w:val="multilevel"/>
    <w:tmpl w:val="455C19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4A1553DE"/>
    <w:multiLevelType w:val="multilevel"/>
    <w:tmpl w:val="4A1553D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5427194A"/>
    <w:multiLevelType w:val="multilevel"/>
    <w:tmpl w:val="542719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658B5BE5"/>
    <w:multiLevelType w:val="multilevel"/>
    <w:tmpl w:val="658B5BE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73D324D8"/>
    <w:multiLevelType w:val="multilevel"/>
    <w:tmpl w:val="73D324D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7B084228"/>
    <w:multiLevelType w:val="multilevel"/>
    <w:tmpl w:val="7B08422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7FE716A6"/>
    <w:multiLevelType w:val="multilevel"/>
    <w:tmpl w:val="7FE716A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SpellingErrors/>
  <w:hideGrammatical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70403"/>
    <w:rsid w:val="000754A7"/>
    <w:rsid w:val="00081F3A"/>
    <w:rsid w:val="000A14E5"/>
    <w:rsid w:val="000B72DB"/>
    <w:rsid w:val="001111C0"/>
    <w:rsid w:val="00117D47"/>
    <w:rsid w:val="001322EC"/>
    <w:rsid w:val="001354AE"/>
    <w:rsid w:val="00136048"/>
    <w:rsid w:val="001371B8"/>
    <w:rsid w:val="00153F4D"/>
    <w:rsid w:val="0016099E"/>
    <w:rsid w:val="00175427"/>
    <w:rsid w:val="001939F8"/>
    <w:rsid w:val="001D15BB"/>
    <w:rsid w:val="001D32D6"/>
    <w:rsid w:val="001F3AD8"/>
    <w:rsid w:val="00215B02"/>
    <w:rsid w:val="00215BB2"/>
    <w:rsid w:val="00232287"/>
    <w:rsid w:val="00241D22"/>
    <w:rsid w:val="00245DCB"/>
    <w:rsid w:val="00261D66"/>
    <w:rsid w:val="00267E80"/>
    <w:rsid w:val="002939B7"/>
    <w:rsid w:val="002A0FA1"/>
    <w:rsid w:val="002B234C"/>
    <w:rsid w:val="002C7E5E"/>
    <w:rsid w:val="0030180C"/>
    <w:rsid w:val="003523B2"/>
    <w:rsid w:val="003C4E96"/>
    <w:rsid w:val="003D7EC0"/>
    <w:rsid w:val="00412B7E"/>
    <w:rsid w:val="00444D52"/>
    <w:rsid w:val="00446609"/>
    <w:rsid w:val="00451554"/>
    <w:rsid w:val="00467D86"/>
    <w:rsid w:val="004753CE"/>
    <w:rsid w:val="00475A3D"/>
    <w:rsid w:val="00476DDD"/>
    <w:rsid w:val="004B0714"/>
    <w:rsid w:val="004B19E4"/>
    <w:rsid w:val="004D58CB"/>
    <w:rsid w:val="004E08CA"/>
    <w:rsid w:val="00516E32"/>
    <w:rsid w:val="0052147D"/>
    <w:rsid w:val="005237AB"/>
    <w:rsid w:val="00553ADE"/>
    <w:rsid w:val="00557327"/>
    <w:rsid w:val="0058398F"/>
    <w:rsid w:val="005B0DCE"/>
    <w:rsid w:val="005B276C"/>
    <w:rsid w:val="005F05C3"/>
    <w:rsid w:val="005F216E"/>
    <w:rsid w:val="00625E36"/>
    <w:rsid w:val="00664606"/>
    <w:rsid w:val="00664AEF"/>
    <w:rsid w:val="006652A8"/>
    <w:rsid w:val="00672238"/>
    <w:rsid w:val="006A2252"/>
    <w:rsid w:val="006A4E18"/>
    <w:rsid w:val="006B2C36"/>
    <w:rsid w:val="006E5379"/>
    <w:rsid w:val="006F04E0"/>
    <w:rsid w:val="006F0E54"/>
    <w:rsid w:val="00707D68"/>
    <w:rsid w:val="00715DBD"/>
    <w:rsid w:val="007472AA"/>
    <w:rsid w:val="00775C06"/>
    <w:rsid w:val="007815A5"/>
    <w:rsid w:val="007A4B1B"/>
    <w:rsid w:val="007A51B8"/>
    <w:rsid w:val="007A5EB3"/>
    <w:rsid w:val="007C06FF"/>
    <w:rsid w:val="007C26C1"/>
    <w:rsid w:val="007C482D"/>
    <w:rsid w:val="007D5D27"/>
    <w:rsid w:val="007E2FE2"/>
    <w:rsid w:val="008131ED"/>
    <w:rsid w:val="00837DE2"/>
    <w:rsid w:val="00852085"/>
    <w:rsid w:val="00856797"/>
    <w:rsid w:val="00877BB7"/>
    <w:rsid w:val="00883109"/>
    <w:rsid w:val="00893080"/>
    <w:rsid w:val="0089709A"/>
    <w:rsid w:val="008C64D6"/>
    <w:rsid w:val="008C6689"/>
    <w:rsid w:val="008D0941"/>
    <w:rsid w:val="008D1EF2"/>
    <w:rsid w:val="008E7AC1"/>
    <w:rsid w:val="00901AA4"/>
    <w:rsid w:val="00905A10"/>
    <w:rsid w:val="00937BF7"/>
    <w:rsid w:val="00943B8B"/>
    <w:rsid w:val="0095060B"/>
    <w:rsid w:val="00953C8D"/>
    <w:rsid w:val="009732B7"/>
    <w:rsid w:val="00981017"/>
    <w:rsid w:val="009858B4"/>
    <w:rsid w:val="009C31B7"/>
    <w:rsid w:val="009F1FC8"/>
    <w:rsid w:val="00A34E72"/>
    <w:rsid w:val="00A41755"/>
    <w:rsid w:val="00A421EA"/>
    <w:rsid w:val="00A46BA6"/>
    <w:rsid w:val="00A67CEA"/>
    <w:rsid w:val="00A7167B"/>
    <w:rsid w:val="00A816A6"/>
    <w:rsid w:val="00A847EE"/>
    <w:rsid w:val="00AA0BCF"/>
    <w:rsid w:val="00AB0B81"/>
    <w:rsid w:val="00AD7235"/>
    <w:rsid w:val="00AE726D"/>
    <w:rsid w:val="00B0591D"/>
    <w:rsid w:val="00B16D85"/>
    <w:rsid w:val="00B2574C"/>
    <w:rsid w:val="00B4218B"/>
    <w:rsid w:val="00B46AC3"/>
    <w:rsid w:val="00B65AC4"/>
    <w:rsid w:val="00B723B2"/>
    <w:rsid w:val="00B75CC6"/>
    <w:rsid w:val="00B84CBC"/>
    <w:rsid w:val="00BD2136"/>
    <w:rsid w:val="00BD53D6"/>
    <w:rsid w:val="00BD59D0"/>
    <w:rsid w:val="00BE7566"/>
    <w:rsid w:val="00C11127"/>
    <w:rsid w:val="00C22EEA"/>
    <w:rsid w:val="00C3535D"/>
    <w:rsid w:val="00C402E9"/>
    <w:rsid w:val="00C51F08"/>
    <w:rsid w:val="00C725DC"/>
    <w:rsid w:val="00C7604E"/>
    <w:rsid w:val="00C96ABD"/>
    <w:rsid w:val="00CA3249"/>
    <w:rsid w:val="00CB0A81"/>
    <w:rsid w:val="00CB0FD9"/>
    <w:rsid w:val="00CB49F4"/>
    <w:rsid w:val="00CB7161"/>
    <w:rsid w:val="00CE01EE"/>
    <w:rsid w:val="00CE368C"/>
    <w:rsid w:val="00CF1EAD"/>
    <w:rsid w:val="00CF461B"/>
    <w:rsid w:val="00D02AB8"/>
    <w:rsid w:val="00D05346"/>
    <w:rsid w:val="00D15212"/>
    <w:rsid w:val="00D3270B"/>
    <w:rsid w:val="00D44619"/>
    <w:rsid w:val="00D514EF"/>
    <w:rsid w:val="00D5259C"/>
    <w:rsid w:val="00D55C2B"/>
    <w:rsid w:val="00D77459"/>
    <w:rsid w:val="00DB3080"/>
    <w:rsid w:val="00DC3C0C"/>
    <w:rsid w:val="00DD70A5"/>
    <w:rsid w:val="00DF5C38"/>
    <w:rsid w:val="00E16DD1"/>
    <w:rsid w:val="00E26F81"/>
    <w:rsid w:val="00E34334"/>
    <w:rsid w:val="00E46B46"/>
    <w:rsid w:val="00E546CA"/>
    <w:rsid w:val="00E713F7"/>
    <w:rsid w:val="00E7459B"/>
    <w:rsid w:val="00E76513"/>
    <w:rsid w:val="00E92DEA"/>
    <w:rsid w:val="00EB08C4"/>
    <w:rsid w:val="00EB1973"/>
    <w:rsid w:val="00EC0190"/>
    <w:rsid w:val="00F01A83"/>
    <w:rsid w:val="00F16DDE"/>
    <w:rsid w:val="00F16F4E"/>
    <w:rsid w:val="00F17648"/>
    <w:rsid w:val="00F36058"/>
    <w:rsid w:val="00F72C4C"/>
    <w:rsid w:val="00F837E8"/>
    <w:rsid w:val="00F927D6"/>
    <w:rsid w:val="00F93C9D"/>
    <w:rsid w:val="00FA0DBA"/>
    <w:rsid w:val="00FA4007"/>
    <w:rsid w:val="00FB43C4"/>
    <w:rsid w:val="00FC2B36"/>
    <w:rsid w:val="00FD0FF0"/>
    <w:rsid w:val="667B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link w:val="21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link w:val="23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 Indent"/>
    <w:basedOn w:val="1"/>
    <w:link w:val="16"/>
    <w:uiPriority w:val="0"/>
    <w:pPr>
      <w:spacing w:after="0" w:line="360" w:lineRule="auto"/>
      <w:ind w:firstLine="720"/>
      <w:jc w:val="both"/>
    </w:pPr>
    <w:rPr>
      <w:rFonts w:ascii="Arial LatArm" w:hAnsi="Arial LatArm" w:eastAsia="Times New Roman" w:cs="Times New Roman"/>
      <w:i/>
      <w:sz w:val="20"/>
      <w:szCs w:val="20"/>
      <w:lang w:val="en-AU"/>
    </w:rPr>
  </w:style>
  <w:style w:type="paragraph" w:styleId="9">
    <w:name w:val="Body Text Indent 2"/>
    <w:basedOn w:val="1"/>
    <w:link w:val="17"/>
    <w:uiPriority w:val="0"/>
    <w:pPr>
      <w:spacing w:after="0" w:line="360" w:lineRule="auto"/>
      <w:ind w:firstLine="540"/>
      <w:jc w:val="both"/>
    </w:pPr>
    <w:rPr>
      <w:rFonts w:ascii="Baltica" w:hAnsi="Baltica" w:eastAsia="Times New Roman" w:cs="Times New Roman"/>
      <w:sz w:val="20"/>
      <w:szCs w:val="20"/>
      <w:lang w:val="af-ZA"/>
    </w:rPr>
  </w:style>
  <w:style w:type="character" w:styleId="10">
    <w:name w:val="Hyperlink"/>
    <w:uiPriority w:val="0"/>
    <w:rPr>
      <w:color w:val="0000FF"/>
      <w:u w:val="single"/>
    </w:rPr>
  </w:style>
  <w:style w:type="paragraph" w:styleId="11">
    <w:name w:val="Normal (Web)"/>
    <w:basedOn w:val="1"/>
    <w:link w:val="18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2">
    <w:name w:val="Strong"/>
    <w:basedOn w:val="6"/>
    <w:qFormat/>
    <w:uiPriority w:val="22"/>
    <w:rPr>
      <w:b/>
      <w:bCs/>
    </w:rPr>
  </w:style>
  <w:style w:type="table" w:styleId="13">
    <w:name w:val="Table Grid"/>
    <w:basedOn w:val="7"/>
    <w:uiPriority w:val="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List Paragraph"/>
    <w:basedOn w:val="1"/>
    <w:link w:val="15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15">
    <w:name w:val="List Paragraph Char"/>
    <w:link w:val="14"/>
    <w:qFormat/>
    <w:locked/>
    <w:uiPriority w:val="34"/>
    <w:rPr>
      <w:rFonts w:eastAsiaTheme="minorEastAsia"/>
    </w:rPr>
  </w:style>
  <w:style w:type="character" w:customStyle="1" w:styleId="16">
    <w:name w:val="Body Text Indent Char"/>
    <w:basedOn w:val="6"/>
    <w:link w:val="8"/>
    <w:uiPriority w:val="0"/>
    <w:rPr>
      <w:rFonts w:ascii="Arial LatArm" w:hAnsi="Arial LatArm" w:eastAsia="Times New Roman" w:cs="Times New Roman"/>
      <w:i/>
      <w:sz w:val="20"/>
      <w:szCs w:val="20"/>
      <w:lang w:val="en-AU"/>
    </w:rPr>
  </w:style>
  <w:style w:type="character" w:customStyle="1" w:styleId="17">
    <w:name w:val="Body Text Indent 2 Char"/>
    <w:basedOn w:val="6"/>
    <w:link w:val="9"/>
    <w:uiPriority w:val="0"/>
    <w:rPr>
      <w:rFonts w:ascii="Baltica" w:hAnsi="Baltica" w:eastAsia="Times New Roman" w:cs="Times New Roman"/>
      <w:sz w:val="20"/>
      <w:szCs w:val="20"/>
      <w:lang w:val="af-ZA"/>
    </w:rPr>
  </w:style>
  <w:style w:type="character" w:customStyle="1" w:styleId="18">
    <w:name w:val="Normal (Web) Char"/>
    <w:link w:val="11"/>
    <w:locked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20">
    <w:name w:val="fontstyle01"/>
    <w:basedOn w:val="6"/>
    <w:uiPriority w:val="0"/>
    <w:rPr>
      <w:rFonts w:hint="default" w:ascii="GHEAGrapalat" w:hAnsi="GHEAGrapalat"/>
      <w:color w:val="000000"/>
      <w:sz w:val="20"/>
      <w:szCs w:val="20"/>
    </w:rPr>
  </w:style>
  <w:style w:type="character" w:customStyle="1" w:styleId="21">
    <w:name w:val="Heading 1 Char"/>
    <w:basedOn w:val="6"/>
    <w:link w:val="2"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customStyle="1" w:styleId="22">
    <w:name w:val="Heading 2 Char"/>
    <w:basedOn w:val="6"/>
    <w:link w:val="3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3">
    <w:name w:val="Heading 3 Char"/>
    <w:basedOn w:val="6"/>
    <w:link w:val="4"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character" w:customStyle="1" w:styleId="24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5">
    <w:name w:val="whitespace-normal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6034</Words>
  <Characters>46297</Characters>
  <Lines>378</Lines>
  <Paragraphs>106</Paragraphs>
  <TotalTime>1906</TotalTime>
  <ScaleCrop>false</ScaleCrop>
  <LinksUpToDate>false</LinksUpToDate>
  <CharactersWithSpaces>52013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2025-10-31T06:26:00Z</dcterms:created>
  <dc:creator>Anahit Hakhumyan</dc:creator>
  <cp:lastModifiedBy>Anna-Ch</cp:lastModifiedBy>
  <dcterms:modified xsi:type="dcterms:W3CDTF">2026-06-12T14:19:03Z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eyJoZGlkIjoiZWU2OTBjM2ExOGQ1ZDUyN2M0Yjg0OWE5OGNjZGYwYjEifQ==</vt:lpwstr>
  </property>
  <property fmtid="{D5CDD505-2E9C-101B-9397-08002B2CF9AE}" pid="3" name="KSOProductBuildVer">
    <vt:lpwstr>1033-12.1.0.26880</vt:lpwstr>
  </property>
  <property fmtid="{D5CDD505-2E9C-101B-9397-08002B2CF9AE}" pid="4" name="ICV">
    <vt:lpwstr>E0FAC5AF212F439C8BB8DF5D6FB77B56_12</vt:lpwstr>
  </property>
</Properties>
</file>